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b/>
          <w:bCs/>
          <w:sz w:val="64"/>
          <w:szCs w:val="64"/>
        </w:rPr>
        <w:t xml:space="preserve">SPPPY - </w:t>
      </w:r>
      <w:r>
        <w:rPr>
          <w:rFonts w:ascii="Times New Roman" w:hAnsi="Times New Roman"/>
          <w:b/>
          <w:bCs/>
          <w:sz w:val="64"/>
          <w:szCs w:val="64"/>
        </w:rPr>
        <w:t>Commission Environnement-Santé</w:t>
      </w:r>
    </w:p>
    <w:p>
      <w:pPr>
        <w:pStyle w:val="Normal"/>
        <w:jc w:val="center"/>
        <w:rPr>
          <w:rFonts w:ascii="Times New Roman" w:hAnsi="Times New Roman"/>
          <w:b/>
          <w:b/>
          <w:bCs/>
        </w:rPr>
      </w:pPr>
      <w:r>
        <w:rPr>
          <w:rFonts w:ascii="Times New Roman" w:hAnsi="Times New Roman"/>
          <w:b/>
          <w:bCs/>
        </w:rPr>
        <w:t>13 novembre 2017 – 14 heures</w:t>
      </w:r>
    </w:p>
    <w:p>
      <w:pPr>
        <w:pStyle w:val="Normal"/>
        <w:jc w:val="center"/>
        <w:rPr>
          <w:rFonts w:ascii="Times New Roman" w:hAnsi="Times New Roman"/>
          <w:b/>
          <w:b/>
          <w:bCs/>
        </w:rPr>
      </w:pPr>
      <w:r>
        <w:rPr>
          <w:rFonts w:ascii="Times New Roman" w:hAnsi="Times New Roman"/>
          <w:b/>
          <w:bCs/>
        </w:rPr>
        <w:t>Unité départementale de la DREAL</w:t>
      </w:r>
    </w:p>
    <w:p>
      <w:pPr>
        <w:pStyle w:val="Normal"/>
        <w:jc w:val="both"/>
        <w:rPr>
          <w:rFonts w:ascii="Times New Roman" w:hAnsi="Times New Roman"/>
        </w:rPr>
      </w:pPr>
      <w:r>
        <w:rPr>
          <w:rFonts w:cs="" w:ascii="Times New Roman" w:hAnsi="Times New Roman" w:cstheme="minorBidi"/>
          <w:b/>
          <w:bCs/>
        </w:rPr>
        <w:t>Participants :</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 xml:space="preserve">Bernard Le Risbé, Association des </w:t>
      </w:r>
      <w:r>
        <w:rPr>
          <w:rFonts w:eastAsia="Calibri" w:cs="" w:ascii="Times New Roman" w:hAnsi="Times New Roman" w:cstheme="minorBidi" w:eastAsiaTheme="minorHAnsi"/>
        </w:rPr>
        <w:t>M</w:t>
      </w:r>
      <w:r>
        <w:rPr>
          <w:rFonts w:eastAsia="Calibri" w:cs="" w:ascii="Times New Roman" w:hAnsi="Times New Roman" w:cstheme="minorBidi" w:eastAsiaTheme="minorHAnsi"/>
        </w:rPr>
        <w:t>aires de l’Isère</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Jérôme Dutroncy, Grenoble</w:t>
      </w:r>
      <w:r>
        <w:rPr>
          <w:rFonts w:eastAsia="Calibri" w:cs="" w:ascii="Times New Roman" w:hAnsi="Times New Roman" w:cstheme="minorBidi" w:eastAsiaTheme="minorHAnsi"/>
        </w:rPr>
        <w:t>-</w:t>
      </w:r>
      <w:r>
        <w:rPr>
          <w:rFonts w:eastAsia="Calibri" w:cs="" w:ascii="Times New Roman" w:hAnsi="Times New Roman" w:cstheme="minorBidi" w:eastAsiaTheme="minorHAnsi"/>
        </w:rPr>
        <w:t xml:space="preserve">Alpes Métropole </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William Meunier, Grenoble</w:t>
      </w:r>
      <w:r>
        <w:rPr>
          <w:rFonts w:eastAsia="Calibri" w:cs="" w:ascii="Times New Roman" w:hAnsi="Times New Roman" w:cstheme="minorBidi" w:eastAsiaTheme="minorHAnsi"/>
        </w:rPr>
        <w:t>-</w:t>
      </w:r>
      <w:r>
        <w:rPr>
          <w:rFonts w:eastAsia="Calibri" w:cs="" w:ascii="Times New Roman" w:hAnsi="Times New Roman" w:cstheme="minorBidi" w:eastAsiaTheme="minorHAnsi"/>
        </w:rPr>
        <w:t>Alpes Métropole</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Alexandra Bako, Communauté d’Agglomération du Pays Voironnais</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 xml:space="preserve">Françoise Bousson, </w:t>
      </w:r>
      <w:r>
        <w:rPr>
          <w:rFonts w:eastAsia="Calibri" w:cs="" w:ascii="Times New Roman" w:hAnsi="Times New Roman" w:cstheme="minorBidi" w:eastAsiaTheme="minorHAnsi"/>
        </w:rPr>
        <w:t>Conseil de Développement du</w:t>
      </w:r>
      <w:r>
        <w:rPr>
          <w:rFonts w:eastAsia="Calibri" w:cs="" w:ascii="Times New Roman" w:hAnsi="Times New Roman" w:cstheme="minorBidi" w:eastAsiaTheme="minorHAnsi"/>
        </w:rPr>
        <w:t xml:space="preserve"> Grésivaudan</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Pauline Vinay, Ville de Grenoble</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Odile Senneret, Ville de Meylan</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Bertrand Joly, P</w:t>
      </w:r>
      <w:r>
        <w:rPr>
          <w:rFonts w:eastAsia="Calibri" w:cs="" w:ascii="Times New Roman" w:hAnsi="Times New Roman" w:cstheme="minorBidi" w:eastAsiaTheme="minorHAnsi"/>
        </w:rPr>
        <w:t xml:space="preserve">arc </w:t>
      </w:r>
      <w:r>
        <w:rPr>
          <w:rFonts w:eastAsia="Calibri" w:cs="" w:ascii="Times New Roman" w:hAnsi="Times New Roman" w:cstheme="minorBidi" w:eastAsiaTheme="minorHAnsi"/>
        </w:rPr>
        <w:t>N</w:t>
      </w:r>
      <w:r>
        <w:rPr>
          <w:rFonts w:eastAsia="Calibri" w:cs="" w:ascii="Times New Roman" w:hAnsi="Times New Roman" w:cstheme="minorBidi" w:eastAsiaTheme="minorHAnsi"/>
        </w:rPr>
        <w:t xml:space="preserve">aturel </w:t>
      </w:r>
      <w:r>
        <w:rPr>
          <w:rFonts w:eastAsia="Calibri" w:cs="" w:ascii="Times New Roman" w:hAnsi="Times New Roman" w:cstheme="minorBidi" w:eastAsiaTheme="minorHAnsi"/>
        </w:rPr>
        <w:t>R</w:t>
      </w:r>
      <w:r>
        <w:rPr>
          <w:rFonts w:eastAsia="Calibri" w:cs="" w:ascii="Times New Roman" w:hAnsi="Times New Roman" w:cstheme="minorBidi" w:eastAsiaTheme="minorHAnsi"/>
        </w:rPr>
        <w:t>égional du</w:t>
      </w:r>
      <w:r>
        <w:rPr>
          <w:rFonts w:eastAsia="Calibri" w:cs="" w:ascii="Times New Roman" w:hAnsi="Times New Roman" w:cstheme="minorBidi" w:eastAsiaTheme="minorHAnsi"/>
        </w:rPr>
        <w:t xml:space="preserve"> Vercors</w:t>
      </w:r>
    </w:p>
    <w:p>
      <w:pPr>
        <w:pStyle w:val="Normal"/>
        <w:numPr>
          <w:ilvl w:val="0"/>
          <w:numId w:val="5"/>
        </w:numPr>
        <w:jc w:val="both"/>
        <w:rPr>
          <w:rFonts w:ascii="Calibri" w:hAnsi="Calibri" w:eastAsia="Calibri" w:cs="" w:asciiTheme="minorHAnsi" w:cstheme="minorBidi" w:eastAsiaTheme="minorHAnsi" w:hAnsiTheme="minorHAnsi"/>
        </w:rPr>
      </w:pPr>
      <w:r>
        <w:rPr>
          <w:rFonts w:eastAsia="Calibri" w:cs="" w:ascii="Times New Roman" w:hAnsi="Times New Roman" w:cstheme="minorBidi" w:eastAsiaTheme="minorHAnsi"/>
        </w:rPr>
        <w:t>Yves François, Chambre d’Agriculture de l’Isère</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G</w:t>
      </w:r>
      <w:r>
        <w:rPr>
          <w:rFonts w:eastAsia="Calibri" w:cs="" w:ascii="Times New Roman" w:hAnsi="Times New Roman" w:cstheme="minorBidi" w:eastAsiaTheme="minorHAnsi"/>
        </w:rPr>
        <w:t>é</w:t>
      </w:r>
      <w:r>
        <w:rPr>
          <w:rFonts w:eastAsia="Calibri" w:cs="" w:ascii="Times New Roman" w:hAnsi="Times New Roman" w:cstheme="minorBidi" w:eastAsiaTheme="minorHAnsi"/>
        </w:rPr>
        <w:t>rard Dauchere, Frapna</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Pierre</w:t>
      </w:r>
      <w:r>
        <w:rPr>
          <w:rFonts w:eastAsia="Calibri" w:cs="" w:ascii="Times New Roman" w:hAnsi="Times New Roman" w:cstheme="minorBidi" w:eastAsiaTheme="minorHAnsi"/>
        </w:rPr>
        <w:t>-</w:t>
      </w:r>
      <w:r>
        <w:rPr>
          <w:rFonts w:eastAsia="Calibri" w:cs="" w:ascii="Times New Roman" w:hAnsi="Times New Roman" w:cstheme="minorBidi" w:eastAsiaTheme="minorHAnsi"/>
        </w:rPr>
        <w:t>Louis Serero, LAHGGLO</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Camille Rieux, Atmo Auvergne Rhône-Alpes</w:t>
      </w:r>
    </w:p>
    <w:p>
      <w:pPr>
        <w:pStyle w:val="Normal"/>
        <w:numPr>
          <w:ilvl w:val="0"/>
          <w:numId w:val="5"/>
        </w:numPr>
        <w:jc w:val="both"/>
        <w:rPr>
          <w:rFonts w:ascii="Calibri" w:hAnsi="Calibri" w:eastAsia="Calibri" w:cs="" w:asciiTheme="minorHAnsi" w:cstheme="minorBidi" w:eastAsiaTheme="minorHAnsi" w:hAnsiTheme="minorHAnsi"/>
        </w:rPr>
      </w:pPr>
      <w:r>
        <w:rPr>
          <w:rFonts w:eastAsia="Calibri" w:cs="" w:ascii="Times New Roman" w:hAnsi="Times New Roman" w:cstheme="minorBidi" w:eastAsiaTheme="minorHAnsi"/>
        </w:rPr>
        <w:t>Jacqueline Collard, Association Sera</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Bernard Piot, Agence Régionale de Santé</w:t>
      </w:r>
    </w:p>
    <w:p>
      <w:pPr>
        <w:pStyle w:val="Normal"/>
        <w:numPr>
          <w:ilvl w:val="0"/>
          <w:numId w:val="5"/>
        </w:numPr>
        <w:jc w:val="both"/>
        <w:rPr>
          <w:rFonts w:ascii="Calibri" w:hAnsi="Calibri" w:eastAsia="Calibri" w:cs="" w:asciiTheme="minorHAnsi" w:cstheme="minorBidi" w:eastAsiaTheme="minorHAnsi" w:hAnsiTheme="minorHAnsi"/>
        </w:rPr>
      </w:pPr>
      <w:r>
        <w:rPr>
          <w:rFonts w:eastAsia="Calibri" w:cs="" w:ascii="Times New Roman" w:hAnsi="Times New Roman" w:cstheme="minorBidi" w:eastAsiaTheme="minorHAnsi"/>
        </w:rPr>
        <w:t>Claire Marie N’Guessan, UD Isère DREAL</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Jean Pierre Foray, UD Isère DREAL</w:t>
      </w:r>
    </w:p>
    <w:p>
      <w:pPr>
        <w:pStyle w:val="Normal"/>
        <w:numPr>
          <w:ilvl w:val="0"/>
          <w:numId w:val="5"/>
        </w:numPr>
        <w:jc w:val="both"/>
        <w:rPr>
          <w:rFonts w:ascii="Times New Roman" w:hAnsi="Times New Roman"/>
        </w:rPr>
      </w:pPr>
      <w:r>
        <w:rPr>
          <w:rFonts w:eastAsia="Calibri" w:cs="" w:ascii="Times New Roman" w:hAnsi="Times New Roman" w:cstheme="minorBidi" w:eastAsiaTheme="minorHAnsi"/>
        </w:rPr>
        <w:t>Corinne Thievent, SPPPY</w:t>
      </w:r>
    </w:p>
    <w:p>
      <w:pPr>
        <w:pStyle w:val="Normal"/>
        <w:numPr>
          <w:ilvl w:val="0"/>
          <w:numId w:val="5"/>
        </w:numPr>
        <w:jc w:val="both"/>
        <w:rPr>
          <w:rFonts w:ascii="Calibri" w:hAnsi="Calibri" w:eastAsia="Calibri" w:cs="" w:asciiTheme="minorHAnsi" w:cstheme="minorBidi" w:eastAsiaTheme="minorHAnsi" w:hAnsiTheme="minorHAnsi"/>
        </w:rPr>
      </w:pPr>
      <w:r>
        <w:rPr>
          <w:rFonts w:eastAsia="Calibri" w:cs="" w:ascii="Times New Roman" w:hAnsi="Times New Roman" w:cstheme="minorBidi" w:eastAsiaTheme="minorHAnsi"/>
        </w:rPr>
        <w:t>Camille Loustalot-Forest, SPPPY</w:t>
      </w:r>
    </w:p>
    <w:p>
      <w:pPr>
        <w:pStyle w:val="Normal"/>
        <w:jc w:val="both"/>
        <w:rPr>
          <w:rFonts w:eastAsia="Calibri" w:cs="" w:cstheme="minorBidi"/>
        </w:rPr>
      </w:pPr>
      <w:r>
        <w:rPr>
          <w:rFonts w:ascii="Times New Roman" w:hAnsi="Times New Roman"/>
        </w:rPr>
      </w:r>
    </w:p>
    <w:p>
      <w:pPr>
        <w:pStyle w:val="Normal"/>
        <w:jc w:val="both"/>
        <w:rPr>
          <w:rFonts w:ascii="Times New Roman" w:hAnsi="Times New Roman"/>
        </w:rPr>
      </w:pPr>
      <w:r>
        <w:rPr>
          <w:rFonts w:eastAsia="Calibri" w:cs="" w:ascii="Times New Roman" w:hAnsi="Times New Roman" w:cstheme="minorBidi"/>
        </w:rPr>
        <w:t>Le diaporama présenté lors de la réunion est disponible en pièce jointe.</w:t>
      </w:r>
    </w:p>
    <w:p>
      <w:pPr>
        <w:pStyle w:val="Normal"/>
        <w:jc w:val="both"/>
        <w:rPr>
          <w:rFonts w:ascii="Times New Roman" w:hAnsi="Times New Roman"/>
        </w:rPr>
      </w:pPr>
      <w:r>
        <w:rPr>
          <w:rFonts w:ascii="Times New Roman" w:hAnsi="Times New Roman"/>
          <w:b/>
          <w:bCs/>
          <w:sz w:val="28"/>
          <w:szCs w:val="28"/>
          <w:u w:val="single"/>
        </w:rPr>
        <w:t>Thématiques abordées</w:t>
      </w:r>
    </w:p>
    <w:p>
      <w:pPr>
        <w:pStyle w:val="Normal"/>
        <w:jc w:val="both"/>
        <w:rPr>
          <w:rFonts w:ascii="Times New Roman" w:hAnsi="Times New Roman"/>
        </w:rPr>
      </w:pPr>
      <w:r>
        <w:rPr>
          <w:rFonts w:ascii="Times New Roman" w:hAnsi="Times New Roman"/>
          <w:b/>
          <w:bCs/>
          <w:i/>
          <w:iCs/>
          <w:u w:val="single"/>
        </w:rPr>
        <w:t xml:space="preserve">1- </w:t>
      </w:r>
      <w:r>
        <w:rPr>
          <w:rFonts w:ascii="Times New Roman" w:hAnsi="Times New Roman"/>
          <w:b/>
          <w:bCs/>
          <w:i/>
          <w:iCs/>
          <w:u w:val="single"/>
        </w:rPr>
        <w:t xml:space="preserve">Mise en place </w:t>
      </w:r>
      <w:r>
        <w:rPr>
          <w:rFonts w:ascii="Times New Roman" w:hAnsi="Times New Roman"/>
          <w:b/>
          <w:bCs/>
          <w:i/>
          <w:iCs/>
          <w:u w:val="single"/>
        </w:rPr>
        <w:t xml:space="preserve">de la </w:t>
      </w:r>
      <w:r>
        <w:rPr>
          <w:rFonts w:ascii="Times New Roman" w:hAnsi="Times New Roman"/>
          <w:b/>
          <w:bCs/>
          <w:i/>
          <w:iCs/>
          <w:u w:val="single"/>
        </w:rPr>
        <w:t>co</w:t>
      </w:r>
      <w:r>
        <w:rPr>
          <w:rFonts w:ascii="Times New Roman" w:hAnsi="Times New Roman"/>
          <w:b/>
          <w:bCs/>
          <w:i/>
          <w:iCs/>
          <w:u w:val="single"/>
        </w:rPr>
        <w:t>mmission</w:t>
      </w:r>
    </w:p>
    <w:p>
      <w:pPr>
        <w:pStyle w:val="Normal"/>
        <w:numPr>
          <w:ilvl w:val="0"/>
          <w:numId w:val="1"/>
        </w:numPr>
        <w:jc w:val="both"/>
        <w:rPr>
          <w:rFonts w:ascii="Times New Roman" w:hAnsi="Times New Roman"/>
        </w:rPr>
      </w:pPr>
      <w:r>
        <w:rPr>
          <w:rFonts w:ascii="Times New Roman" w:hAnsi="Times New Roman"/>
        </w:rPr>
        <w:t>Historique : volonté de création depuis l’émergence du SPPPY, de</w:t>
      </w:r>
      <w:r>
        <w:rPr>
          <w:rFonts w:ascii="Times New Roman" w:hAnsi="Times New Roman"/>
        </w:rPr>
        <w:t>s</w:t>
      </w:r>
      <w:r>
        <w:rPr>
          <w:rFonts w:ascii="Times New Roman" w:hAnsi="Times New Roman"/>
        </w:rPr>
        <w:t xml:space="preserve"> travaux entre 2012 et 2015, deux séminaires de finalisation en mai 2016 et juillet 2017</w:t>
      </w:r>
    </w:p>
    <w:p>
      <w:pPr>
        <w:pStyle w:val="Normal"/>
        <w:numPr>
          <w:ilvl w:val="0"/>
          <w:numId w:val="1"/>
        </w:numPr>
        <w:jc w:val="both"/>
        <w:rPr>
          <w:rFonts w:ascii="Times New Roman" w:hAnsi="Times New Roman"/>
        </w:rPr>
      </w:pPr>
      <w:r>
        <w:rPr>
          <w:rFonts w:ascii="Times New Roman" w:hAnsi="Times New Roman"/>
        </w:rPr>
        <w:t xml:space="preserve">Thématiques abordées : il s’agit bien d’évoquer les liens entre environnement et santé. Les aspects environnementaux se retrouvent dans l’ensemble des commissions du SPPPY. </w:t>
      </w:r>
    </w:p>
    <w:p>
      <w:pPr>
        <w:pStyle w:val="Normal"/>
        <w:numPr>
          <w:ilvl w:val="0"/>
          <w:numId w:val="0"/>
        </w:numPr>
        <w:ind w:left="1428" w:hanging="0"/>
        <w:jc w:val="both"/>
        <w:rPr>
          <w:rFonts w:ascii="Times New Roman" w:hAnsi="Times New Roman"/>
        </w:rPr>
      </w:pPr>
      <w:r>
        <w:rPr>
          <w:rFonts w:ascii="Times New Roman" w:hAnsi="Times New Roman"/>
        </w:rPr>
        <w:t>L’ensemble des thématiques envisageables est très large : qualité de l’air, eau, alimentation, agriculture, etc.</w:t>
      </w:r>
    </w:p>
    <w:p>
      <w:pPr>
        <w:pStyle w:val="Normal"/>
        <w:numPr>
          <w:ilvl w:val="0"/>
          <w:numId w:val="0"/>
        </w:numPr>
        <w:ind w:left="1428" w:hanging="0"/>
        <w:jc w:val="both"/>
        <w:rPr>
          <w:rFonts w:ascii="Times New Roman" w:hAnsi="Times New Roman"/>
        </w:rPr>
      </w:pPr>
      <w:r>
        <w:rPr>
          <w:rFonts w:ascii="Times New Roman" w:hAnsi="Times New Roman"/>
        </w:rPr>
        <w:t xml:space="preserve">Les travaux des diverses </w:t>
      </w:r>
      <w:r>
        <w:rPr>
          <w:rFonts w:ascii="Times New Roman" w:hAnsi="Times New Roman"/>
        </w:rPr>
        <w:t>c</w:t>
      </w:r>
      <w:r>
        <w:rPr>
          <w:rFonts w:ascii="Times New Roman" w:hAnsi="Times New Roman"/>
        </w:rPr>
        <w:t xml:space="preserve">ommissions du SPPPY </w:t>
      </w:r>
      <w:r>
        <w:rPr>
          <w:rFonts w:ascii="Times New Roman" w:hAnsi="Times New Roman"/>
        </w:rPr>
        <w:t>pourront se recouper</w:t>
      </w:r>
      <w:r>
        <w:rPr>
          <w:rFonts w:ascii="Times New Roman" w:hAnsi="Times New Roman"/>
        </w:rPr>
        <w:t xml:space="preserve"> sur </w:t>
      </w:r>
      <w:r>
        <w:rPr>
          <w:rFonts w:ascii="Times New Roman" w:hAnsi="Times New Roman"/>
        </w:rPr>
        <w:t>certaines</w:t>
      </w:r>
      <w:r>
        <w:rPr>
          <w:rFonts w:ascii="Times New Roman" w:hAnsi="Times New Roman"/>
        </w:rPr>
        <w:t xml:space="preserve"> thématiques, comme par exemple l’air.</w:t>
      </w:r>
    </w:p>
    <w:p>
      <w:pPr>
        <w:pStyle w:val="Normal"/>
        <w:jc w:val="both"/>
        <w:rPr>
          <w:rFonts w:ascii="Times New Roman" w:hAnsi="Times New Roman"/>
          <w:b/>
          <w:b/>
          <w:bCs/>
          <w:i/>
          <w:i/>
          <w:iCs/>
          <w:u w:val="single"/>
        </w:rPr>
      </w:pPr>
      <w:r>
        <w:rPr>
          <w:rFonts w:ascii="Times New Roman" w:hAnsi="Times New Roman"/>
          <w:b/>
          <w:bCs/>
          <w:i/>
          <w:iCs/>
          <w:u w:val="single"/>
        </w:rPr>
        <w:t>2 - Présidence</w:t>
      </w:r>
    </w:p>
    <w:p>
      <w:pPr>
        <w:pStyle w:val="Normal"/>
        <w:numPr>
          <w:ilvl w:val="0"/>
          <w:numId w:val="2"/>
        </w:numPr>
        <w:jc w:val="both"/>
        <w:rPr>
          <w:rFonts w:ascii="Times New Roman" w:hAnsi="Times New Roman"/>
        </w:rPr>
      </w:pPr>
      <w:r>
        <w:rPr>
          <w:rFonts w:ascii="Times New Roman" w:hAnsi="Times New Roman"/>
        </w:rPr>
        <w:t>Piste envisagée : Un courrier a été envoyé à l’ordre départemental des médecins pour proposer cette présidence. Cette proposition semble peu judicieuse pour certains membres, vu la difficulté à mobiliser des professionnels déjà très pris sur des thématiques qui ne leur semblent  pas toujours prioritaires</w:t>
      </w:r>
    </w:p>
    <w:p>
      <w:pPr>
        <w:pStyle w:val="Normal"/>
        <w:numPr>
          <w:ilvl w:val="0"/>
          <w:numId w:val="2"/>
        </w:numPr>
        <w:jc w:val="both"/>
        <w:rPr>
          <w:rFonts w:ascii="Times New Roman" w:hAnsi="Times New Roman"/>
        </w:rPr>
      </w:pPr>
      <w:r>
        <w:rPr>
          <w:rFonts w:ascii="Times New Roman" w:hAnsi="Times New Roman"/>
        </w:rPr>
        <w:t xml:space="preserve">Pistes de réflexion : </w:t>
      </w:r>
    </w:p>
    <w:p>
      <w:pPr>
        <w:pStyle w:val="Normal"/>
        <w:numPr>
          <w:ilvl w:val="1"/>
          <w:numId w:val="2"/>
        </w:numPr>
        <w:jc w:val="both"/>
        <w:rPr>
          <w:rFonts w:ascii="Times New Roman" w:hAnsi="Times New Roman"/>
        </w:rPr>
      </w:pPr>
      <w:r>
        <w:rPr>
          <w:rFonts w:ascii="Times New Roman" w:hAnsi="Times New Roman"/>
        </w:rPr>
        <w:t>Recherche d’</w:t>
      </w:r>
      <w:r>
        <w:rPr>
          <w:rFonts w:ascii="Times New Roman" w:hAnsi="Times New Roman"/>
        </w:rPr>
        <w:t>un</w:t>
      </w:r>
      <w:r>
        <w:rPr>
          <w:rFonts w:ascii="Times New Roman" w:hAnsi="Times New Roman"/>
        </w:rPr>
        <w:t xml:space="preserve"> président dans le « vivier » de</w:t>
      </w:r>
      <w:r>
        <w:rPr>
          <w:rFonts w:ascii="Times New Roman" w:hAnsi="Times New Roman"/>
        </w:rPr>
        <w:t>s</w:t>
      </w:r>
      <w:r>
        <w:rPr>
          <w:rFonts w:ascii="Times New Roman" w:hAnsi="Times New Roman"/>
        </w:rPr>
        <w:t xml:space="preserve"> participants </w:t>
      </w:r>
      <w:r>
        <w:rPr>
          <w:rFonts w:ascii="Times New Roman" w:hAnsi="Times New Roman"/>
        </w:rPr>
        <w:t>aux</w:t>
      </w:r>
      <w:r>
        <w:rPr>
          <w:rFonts w:ascii="Times New Roman" w:hAnsi="Times New Roman"/>
        </w:rPr>
        <w:t xml:space="preserve"> groupes de travail constitués lors de l’élaboration du Plan Municipal de Santé de la ville de Grenoble</w:t>
      </w:r>
    </w:p>
    <w:p>
      <w:pPr>
        <w:pStyle w:val="Normal"/>
        <w:numPr>
          <w:ilvl w:val="1"/>
          <w:numId w:val="2"/>
        </w:numPr>
        <w:jc w:val="both"/>
        <w:rPr>
          <w:rFonts w:ascii="Times New Roman" w:hAnsi="Times New Roman"/>
        </w:rPr>
      </w:pPr>
      <w:r>
        <w:rPr>
          <w:rFonts w:ascii="Times New Roman" w:hAnsi="Times New Roman"/>
        </w:rPr>
        <w:t>R</w:t>
      </w:r>
      <w:r>
        <w:rPr>
          <w:rFonts w:ascii="Times New Roman" w:hAnsi="Times New Roman"/>
        </w:rPr>
        <w:t>echerche ,</w:t>
      </w:r>
      <w:r>
        <w:rPr>
          <w:rFonts w:ascii="Times New Roman" w:hAnsi="Times New Roman"/>
        </w:rPr>
        <w:t>d’</w:t>
      </w:r>
      <w:r>
        <w:rPr>
          <w:rFonts w:ascii="Times New Roman" w:hAnsi="Times New Roman"/>
        </w:rPr>
        <w:t>un président dans la liste des participants à la formation en ligne en santé environnement proposée par le Centre Léon Bérard à Lyon, et à laquelle de très nombreux élus isérois se sont inscrits</w:t>
      </w:r>
    </w:p>
    <w:p>
      <w:pPr>
        <w:pStyle w:val="Normal"/>
        <w:numPr>
          <w:ilvl w:val="1"/>
          <w:numId w:val="2"/>
        </w:numPr>
        <w:jc w:val="both"/>
        <w:rPr>
          <w:rFonts w:ascii="Times New Roman" w:hAnsi="Times New Roman"/>
        </w:rPr>
      </w:pPr>
      <w:r>
        <w:rPr>
          <w:rFonts w:ascii="Times New Roman" w:hAnsi="Times New Roman"/>
        </w:rPr>
        <w:t>Recherche d’un professionnel qui ne soit pas médecin : le nom de Philippe Perrin, infirmier et directeur de l’IFSEN, est évoqué, mais il est peu disponible.</w:t>
      </w:r>
    </w:p>
    <w:p>
      <w:pPr>
        <w:pStyle w:val="Normal"/>
        <w:numPr>
          <w:ilvl w:val="1"/>
          <w:numId w:val="2"/>
        </w:numPr>
        <w:jc w:val="both"/>
        <w:rPr>
          <w:rFonts w:ascii="Times New Roman" w:hAnsi="Times New Roman"/>
        </w:rPr>
      </w:pPr>
      <w:r>
        <w:rPr>
          <w:rFonts w:ascii="Times New Roman" w:hAnsi="Times New Roman"/>
        </w:rPr>
        <w:t xml:space="preserve">Un appel à volontaires est également lancé </w:t>
      </w:r>
      <w:r>
        <w:rPr>
          <w:rFonts w:ascii="Times New Roman" w:hAnsi="Times New Roman"/>
        </w:rPr>
        <w:t>aux</w:t>
      </w:r>
      <w:r>
        <w:rPr>
          <w:rFonts w:ascii="Times New Roman" w:hAnsi="Times New Roman"/>
        </w:rPr>
        <w:t xml:space="preserve"> participants </w:t>
      </w:r>
      <w:r>
        <w:rPr>
          <w:rFonts w:ascii="Times New Roman" w:hAnsi="Times New Roman"/>
        </w:rPr>
        <w:t xml:space="preserve">à la réunion </w:t>
      </w:r>
      <w:r>
        <w:rPr>
          <w:rFonts w:ascii="Times New Roman" w:hAnsi="Times New Roman"/>
        </w:rPr>
        <w:t xml:space="preserve">ou </w:t>
      </w:r>
      <w:r>
        <w:rPr>
          <w:rFonts w:ascii="Times New Roman" w:hAnsi="Times New Roman"/>
        </w:rPr>
        <w:t xml:space="preserve">à </w:t>
      </w:r>
      <w:r>
        <w:rPr>
          <w:rFonts w:ascii="Times New Roman" w:hAnsi="Times New Roman"/>
        </w:rPr>
        <w:t>leurs réseaux.</w:t>
      </w:r>
    </w:p>
    <w:p>
      <w:pPr>
        <w:pStyle w:val="Normal"/>
        <w:numPr>
          <w:ilvl w:val="1"/>
          <w:numId w:val="2"/>
        </w:numPr>
        <w:jc w:val="both"/>
        <w:rPr>
          <w:rFonts w:ascii="Times New Roman" w:hAnsi="Times New Roman"/>
        </w:rPr>
      </w:pPr>
      <w:r>
        <w:rPr>
          <w:rFonts w:ascii="Times New Roman" w:hAnsi="Times New Roman"/>
        </w:rPr>
        <w:t>En attente, à d</w:t>
      </w:r>
      <w:r>
        <w:rPr>
          <w:rFonts w:ascii="Times New Roman" w:hAnsi="Times New Roman"/>
        </w:rPr>
        <w:t>é</w:t>
      </w:r>
      <w:r>
        <w:rPr>
          <w:rFonts w:ascii="Times New Roman" w:hAnsi="Times New Roman"/>
        </w:rPr>
        <w:t>cider idéalement avant la plénière du SPPPY.</w:t>
      </w:r>
    </w:p>
    <w:p>
      <w:pPr>
        <w:pStyle w:val="Normal"/>
        <w:jc w:val="both"/>
        <w:rPr>
          <w:rFonts w:ascii="Times New Roman" w:hAnsi="Times New Roman"/>
        </w:rPr>
      </w:pPr>
      <w:r>
        <w:rPr>
          <w:rFonts w:ascii="Times New Roman" w:hAnsi="Times New Roman"/>
          <w:b/>
          <w:bCs/>
          <w:i/>
          <w:iCs/>
          <w:u w:val="single"/>
        </w:rPr>
        <w:t>3 - Actions concrètes</w:t>
      </w:r>
    </w:p>
    <w:p>
      <w:pPr>
        <w:pStyle w:val="Normal"/>
        <w:numPr>
          <w:ilvl w:val="0"/>
          <w:numId w:val="2"/>
        </w:numPr>
        <w:jc w:val="both"/>
        <w:rPr>
          <w:rFonts w:ascii="Times New Roman" w:hAnsi="Times New Roman"/>
        </w:rPr>
      </w:pPr>
      <w:r>
        <w:rPr>
          <w:rFonts w:ascii="Times New Roman" w:hAnsi="Times New Roman"/>
          <w:b/>
          <w:bCs/>
        </w:rPr>
        <w:t>Animer et renforcer le réseau environnement-santé :</w:t>
      </w:r>
    </w:p>
    <w:p>
      <w:pPr>
        <w:pStyle w:val="Normal"/>
        <w:numPr>
          <w:ilvl w:val="1"/>
          <w:numId w:val="2"/>
        </w:numPr>
        <w:jc w:val="both"/>
        <w:rPr>
          <w:rFonts w:ascii="Times New Roman" w:hAnsi="Times New Roman"/>
        </w:rPr>
      </w:pPr>
      <w:r>
        <w:rPr>
          <w:rFonts w:ascii="Times New Roman" w:hAnsi="Times New Roman"/>
        </w:rPr>
        <w:t xml:space="preserve">C’est l’essence première du SPPPY, qui a pour objectif de créer des dynamiques et de mettre en relation pour faire travailler ensemble des acteurs variés autour d’une thématique commune. Il faut favoriser au maximum les liens avec les structures déjà existantes, par exemple la commission </w:t>
      </w:r>
      <w:r>
        <w:rPr>
          <w:rFonts w:ascii="Times New Roman" w:hAnsi="Times New Roman"/>
        </w:rPr>
        <w:t>e</w:t>
      </w:r>
      <w:r>
        <w:rPr>
          <w:rFonts w:ascii="Times New Roman" w:hAnsi="Times New Roman"/>
        </w:rPr>
        <w:t>nvironnement du SCOT, les CSS…</w:t>
      </w:r>
    </w:p>
    <w:p>
      <w:pPr>
        <w:pStyle w:val="Normal"/>
        <w:numPr>
          <w:ilvl w:val="1"/>
          <w:numId w:val="2"/>
        </w:numPr>
        <w:jc w:val="both"/>
        <w:rPr>
          <w:rFonts w:ascii="Times New Roman" w:hAnsi="Times New Roman"/>
        </w:rPr>
      </w:pPr>
      <w:r>
        <w:rPr>
          <w:rFonts w:ascii="Times New Roman" w:hAnsi="Times New Roman"/>
        </w:rPr>
        <w:t>P</w:t>
      </w:r>
      <w:r>
        <w:rPr>
          <w:rFonts w:ascii="Times New Roman" w:hAnsi="Times New Roman"/>
        </w:rPr>
        <w:t xml:space="preserve">articipation aux travaux régionaux et notamment </w:t>
      </w:r>
      <w:r>
        <w:rPr>
          <w:rFonts w:ascii="Times New Roman" w:hAnsi="Times New Roman"/>
        </w:rPr>
        <w:t xml:space="preserve">à </w:t>
      </w:r>
      <w:r>
        <w:rPr>
          <w:rFonts w:ascii="Times New Roman" w:hAnsi="Times New Roman"/>
        </w:rPr>
        <w:t xml:space="preserve">l’élaboration et </w:t>
      </w:r>
      <w:r>
        <w:rPr>
          <w:rFonts w:ascii="Times New Roman" w:hAnsi="Times New Roman"/>
        </w:rPr>
        <w:t>à</w:t>
      </w:r>
      <w:r>
        <w:rPr>
          <w:rFonts w:ascii="Times New Roman" w:hAnsi="Times New Roman"/>
        </w:rPr>
        <w:t xml:space="preserve"> la mise en œuvre du Plan Régional Santé Environnement 3. Le SPPPY a notamment animé le groupe de travail n° 6 relatif a l’implication de la population dans les décisions relatives à la santé environnement : ce groupe a proposé la fiche action 18 du PRSE.</w:t>
      </w:r>
    </w:p>
    <w:p>
      <w:pPr>
        <w:pStyle w:val="Normal"/>
        <w:numPr>
          <w:ilvl w:val="1"/>
          <w:numId w:val="2"/>
        </w:numPr>
        <w:jc w:val="both"/>
        <w:rPr>
          <w:rFonts w:ascii="Times New Roman" w:hAnsi="Times New Roman"/>
        </w:rPr>
      </w:pPr>
      <w:r>
        <w:rPr>
          <w:rFonts w:ascii="Times New Roman" w:hAnsi="Times New Roman"/>
        </w:rPr>
        <w:t xml:space="preserve">Il est également proposé que le SPPPY </w:t>
      </w:r>
      <w:r>
        <w:rPr>
          <w:rFonts w:ascii="Times New Roman" w:hAnsi="Times New Roman"/>
        </w:rPr>
        <w:t>facilite</w:t>
      </w:r>
      <w:r>
        <w:rPr>
          <w:rFonts w:ascii="Times New Roman" w:hAnsi="Times New Roman"/>
        </w:rPr>
        <w:t xml:space="preserve"> l’organisation de conférences </w:t>
      </w:r>
    </w:p>
    <w:p>
      <w:pPr>
        <w:pStyle w:val="Normal"/>
        <w:numPr>
          <w:ilvl w:val="0"/>
          <w:numId w:val="2"/>
        </w:numPr>
        <w:jc w:val="both"/>
        <w:rPr>
          <w:rFonts w:ascii="Times New Roman" w:hAnsi="Times New Roman"/>
        </w:rPr>
      </w:pPr>
      <w:r>
        <w:rPr>
          <w:rFonts w:ascii="Times New Roman" w:hAnsi="Times New Roman"/>
          <w:b/>
          <w:bCs/>
        </w:rPr>
        <w:t xml:space="preserve">Positionner la commission comme relais vers les publics de la DREAL (industriels, </w:t>
      </w:r>
      <w:r>
        <w:rPr>
          <w:rFonts w:ascii="Times New Roman" w:hAnsi="Times New Roman"/>
          <w:b/>
          <w:bCs/>
        </w:rPr>
        <w:t xml:space="preserve">notamment </w:t>
      </w:r>
      <w:r>
        <w:rPr>
          <w:rFonts w:ascii="Times New Roman" w:hAnsi="Times New Roman"/>
          <w:b/>
          <w:bCs/>
        </w:rPr>
        <w:t>ICPE) :</w:t>
      </w:r>
    </w:p>
    <w:p>
      <w:pPr>
        <w:pStyle w:val="Normal"/>
        <w:numPr>
          <w:ilvl w:val="1"/>
          <w:numId w:val="2"/>
        </w:numPr>
        <w:jc w:val="both"/>
        <w:rPr>
          <w:rFonts w:ascii="Times New Roman" w:hAnsi="Times New Roman"/>
        </w:rPr>
      </w:pPr>
      <w:r>
        <w:rPr>
          <w:rFonts w:ascii="Times New Roman" w:hAnsi="Times New Roman"/>
        </w:rPr>
        <w:t xml:space="preserve">De par l’ancrage du SPPPY au sein de la DREAL, il pourrait être intéressant de proposer un relais entre les membres de la </w:t>
      </w:r>
      <w:r>
        <w:rPr>
          <w:rFonts w:ascii="Times New Roman" w:hAnsi="Times New Roman"/>
        </w:rPr>
        <w:t>c</w:t>
      </w:r>
      <w:r>
        <w:rPr>
          <w:rFonts w:ascii="Times New Roman" w:hAnsi="Times New Roman"/>
        </w:rPr>
        <w:t xml:space="preserve">ommission (et notamment </w:t>
      </w:r>
      <w:r>
        <w:rPr>
          <w:rFonts w:ascii="Times New Roman" w:hAnsi="Times New Roman"/>
        </w:rPr>
        <w:t xml:space="preserve">les représentants des </w:t>
      </w:r>
      <w:r>
        <w:rPr>
          <w:rFonts w:ascii="Times New Roman" w:hAnsi="Times New Roman"/>
        </w:rPr>
        <w:t xml:space="preserve">collectivités et </w:t>
      </w:r>
      <w:r>
        <w:rPr>
          <w:rFonts w:ascii="Times New Roman" w:hAnsi="Times New Roman"/>
        </w:rPr>
        <w:t>des</w:t>
      </w:r>
      <w:r>
        <w:rPr>
          <w:rFonts w:ascii="Times New Roman" w:hAnsi="Times New Roman"/>
        </w:rPr>
        <w:t xml:space="preserve"> associations) et </w:t>
      </w:r>
      <w:r>
        <w:rPr>
          <w:rFonts w:ascii="Times New Roman" w:hAnsi="Times New Roman"/>
        </w:rPr>
        <w:t>les exploitants industriels</w:t>
      </w:r>
      <w:r>
        <w:rPr>
          <w:rFonts w:ascii="Times New Roman" w:hAnsi="Times New Roman"/>
        </w:rPr>
        <w:t xml:space="preserve"> sur des thématiques relevant de l’environnement-santé. Cette demande a été </w:t>
      </w:r>
      <w:r>
        <w:rPr>
          <w:rFonts w:ascii="Times New Roman" w:hAnsi="Times New Roman"/>
        </w:rPr>
        <w:t>exprimée</w:t>
      </w:r>
      <w:r>
        <w:rPr>
          <w:rFonts w:ascii="Times New Roman" w:hAnsi="Times New Roman"/>
        </w:rPr>
        <w:t xml:space="preserve"> lors de la réunion de la commission </w:t>
      </w:r>
      <w:r>
        <w:rPr>
          <w:rFonts w:ascii="Times New Roman" w:hAnsi="Times New Roman"/>
        </w:rPr>
        <w:t>e</w:t>
      </w:r>
      <w:r>
        <w:rPr>
          <w:rFonts w:ascii="Times New Roman" w:hAnsi="Times New Roman"/>
        </w:rPr>
        <w:t>nvironnement du SCOT le 05/10/2017.</w:t>
      </w:r>
    </w:p>
    <w:p>
      <w:pPr>
        <w:pStyle w:val="Normal"/>
        <w:numPr>
          <w:ilvl w:val="1"/>
          <w:numId w:val="2"/>
        </w:numPr>
        <w:jc w:val="both"/>
        <w:rPr>
          <w:rFonts w:ascii="Times New Roman" w:hAnsi="Times New Roman"/>
        </w:rPr>
      </w:pPr>
      <w:r>
        <w:rPr>
          <w:rFonts w:ascii="Times New Roman" w:hAnsi="Times New Roman"/>
        </w:rPr>
        <w:t>Il existe déjà de nombreuses structures de concertation relatives au secteur industriel (CSS notamment), mais il a été noté à plusieurs reprises que les liens pourraient être renforcés, par exemple au sein des Conseils de développement, ou directement au sein de la commission environnement santé.</w:t>
      </w:r>
    </w:p>
    <w:p>
      <w:pPr>
        <w:pStyle w:val="Normal"/>
        <w:numPr>
          <w:ilvl w:val="1"/>
          <w:numId w:val="2"/>
        </w:numPr>
        <w:jc w:val="both"/>
        <w:rPr>
          <w:rFonts w:ascii="Times New Roman" w:hAnsi="Times New Roman"/>
        </w:rPr>
      </w:pPr>
      <w:r>
        <w:rPr>
          <w:rFonts w:ascii="Times New Roman" w:hAnsi="Times New Roman"/>
        </w:rPr>
        <w:t>Il est suggéré que les CCI et l’APORA fassent partie de cette commission.</w:t>
      </w:r>
    </w:p>
    <w:p>
      <w:pPr>
        <w:pStyle w:val="Normal"/>
        <w:numPr>
          <w:ilvl w:val="0"/>
          <w:numId w:val="2"/>
        </w:numPr>
        <w:jc w:val="both"/>
        <w:rPr>
          <w:rFonts w:ascii="Times New Roman" w:hAnsi="Times New Roman"/>
        </w:rPr>
      </w:pPr>
      <w:r>
        <w:rPr>
          <w:rFonts w:ascii="Times New Roman" w:hAnsi="Times New Roman"/>
          <w:b/>
          <w:bCs/>
        </w:rPr>
        <w:t xml:space="preserve">Créer une lettre </w:t>
      </w:r>
      <w:r>
        <w:rPr>
          <w:rFonts w:ascii="Times New Roman" w:hAnsi="Times New Roman"/>
          <w:b/>
          <w:bCs/>
        </w:rPr>
        <w:t>sur la thématique</w:t>
      </w:r>
      <w:r>
        <w:rPr>
          <w:rFonts w:ascii="Times New Roman" w:hAnsi="Times New Roman"/>
          <w:b/>
          <w:bCs/>
        </w:rPr>
        <w:t xml:space="preserve"> environnement</w:t>
      </w:r>
      <w:r>
        <w:rPr>
          <w:rFonts w:ascii="Times New Roman" w:hAnsi="Times New Roman"/>
          <w:b/>
          <w:bCs/>
        </w:rPr>
        <w:t>-</w:t>
      </w:r>
      <w:r>
        <w:rPr>
          <w:rFonts w:ascii="Times New Roman" w:hAnsi="Times New Roman"/>
          <w:b/>
          <w:bCs/>
        </w:rPr>
        <w:t>santé :</w:t>
      </w:r>
    </w:p>
    <w:p>
      <w:pPr>
        <w:pStyle w:val="Normal"/>
        <w:numPr>
          <w:ilvl w:val="1"/>
          <w:numId w:val="2"/>
        </w:numPr>
        <w:jc w:val="both"/>
        <w:rPr>
          <w:rFonts w:ascii="Times New Roman" w:hAnsi="Times New Roman"/>
        </w:rPr>
      </w:pPr>
      <w:r>
        <w:rPr>
          <w:rFonts w:ascii="Times New Roman" w:hAnsi="Times New Roman"/>
        </w:rPr>
        <w:t>Il est proposé de rédiger une lettre bi-annuelle de quatre pages reprenant les actualités et expériences locales en environnement-santé, pour une diffusion large aux membres du SPPPY.</w:t>
      </w:r>
    </w:p>
    <w:p>
      <w:pPr>
        <w:pStyle w:val="Normal"/>
        <w:numPr>
          <w:ilvl w:val="1"/>
          <w:numId w:val="2"/>
        </w:numPr>
        <w:jc w:val="both"/>
        <w:rPr>
          <w:rFonts w:ascii="Times New Roman" w:hAnsi="Times New Roman"/>
        </w:rPr>
      </w:pPr>
      <w:r>
        <w:rPr>
          <w:rFonts w:ascii="Times New Roman" w:hAnsi="Times New Roman"/>
          <w:u w:val="single"/>
        </w:rPr>
        <w:t>Format </w:t>
      </w:r>
      <w:r>
        <w:rPr>
          <w:rFonts w:ascii="Times New Roman" w:hAnsi="Times New Roman"/>
        </w:rPr>
        <w:t xml:space="preserve">: la commission considère qu’il semble plus adéquat de travailler sur un outil simple et concis, renvoyant vers les interlocuteurs </w:t>
      </w:r>
      <w:r>
        <w:rPr>
          <w:rFonts w:ascii="Times New Roman" w:hAnsi="Times New Roman"/>
        </w:rPr>
        <w:t xml:space="preserve">et sites </w:t>
      </w:r>
      <w:r>
        <w:rPr>
          <w:rFonts w:ascii="Times New Roman" w:hAnsi="Times New Roman"/>
        </w:rPr>
        <w:t>concernés, plutot que de créer un « doublon » par rapport aux travaux déjà existants sur chaque thématique. Il faut aussi faire connaître ce qui existe.</w:t>
      </w:r>
    </w:p>
    <w:p>
      <w:pPr>
        <w:pStyle w:val="Normal"/>
        <w:numPr>
          <w:ilvl w:val="1"/>
          <w:numId w:val="2"/>
        </w:numPr>
        <w:jc w:val="both"/>
        <w:rPr>
          <w:rFonts w:ascii="Times New Roman" w:hAnsi="Times New Roman"/>
        </w:rPr>
      </w:pPr>
      <w:r>
        <w:rPr>
          <w:rFonts w:ascii="Times New Roman" w:hAnsi="Times New Roman"/>
          <w:u w:val="single"/>
        </w:rPr>
        <w:t>Thématiques </w:t>
      </w:r>
      <w:r>
        <w:rPr>
          <w:rFonts w:ascii="Times New Roman" w:hAnsi="Times New Roman"/>
        </w:rPr>
        <w:t xml:space="preserve">: leur choix est très important : sur quels critères les sélectionner ? La commission convient que ce choix doit être motivé par l’actualité </w:t>
      </w:r>
      <w:r>
        <w:rPr>
          <w:rFonts w:ascii="Times New Roman" w:hAnsi="Times New Roman"/>
        </w:rPr>
        <w:t>réglementaire</w:t>
      </w:r>
      <w:r>
        <w:rPr>
          <w:rFonts w:ascii="Times New Roman" w:hAnsi="Times New Roman"/>
        </w:rPr>
        <w:t xml:space="preserve"> et par les enjeux locaux. </w:t>
      </w:r>
    </w:p>
    <w:p>
      <w:pPr>
        <w:pStyle w:val="Normal"/>
        <w:numPr>
          <w:ilvl w:val="2"/>
          <w:numId w:val="2"/>
        </w:numPr>
        <w:jc w:val="both"/>
        <w:rPr>
          <w:rFonts w:ascii="Times New Roman" w:hAnsi="Times New Roman"/>
        </w:rPr>
      </w:pPr>
      <w:r>
        <w:rPr>
          <w:rFonts w:ascii="Times New Roman" w:hAnsi="Times New Roman"/>
        </w:rPr>
        <w:t xml:space="preserve">Il paraît judicieux de repartir de l’état des lieux en santé environnement réalisé en 2016 par l’ORS et le CEREMA et </w:t>
      </w:r>
      <w:r>
        <w:rPr>
          <w:rFonts w:ascii="Times New Roman" w:hAnsi="Times New Roman"/>
        </w:rPr>
        <w:t xml:space="preserve">de </w:t>
      </w:r>
      <w:r>
        <w:rPr>
          <w:rFonts w:ascii="Times New Roman" w:hAnsi="Times New Roman"/>
        </w:rPr>
        <w:t>s’intéresser plus particulièrement aux impacts sur le territoire.</w:t>
      </w:r>
    </w:p>
    <w:p>
      <w:pPr>
        <w:pStyle w:val="Normal"/>
        <w:numPr>
          <w:ilvl w:val="1"/>
          <w:numId w:val="2"/>
        </w:numPr>
        <w:jc w:val="both"/>
        <w:rPr>
          <w:rFonts w:ascii="Times New Roman" w:hAnsi="Times New Roman"/>
        </w:rPr>
      </w:pPr>
      <w:r>
        <w:rPr>
          <w:rFonts w:ascii="Times New Roman" w:hAnsi="Times New Roman"/>
        </w:rPr>
        <w:t>Il est convenu pour le premier numéro de proposer des articles sur :</w:t>
      </w:r>
    </w:p>
    <w:p>
      <w:pPr>
        <w:pStyle w:val="Normal"/>
        <w:numPr>
          <w:ilvl w:val="2"/>
          <w:numId w:val="2"/>
        </w:numPr>
        <w:jc w:val="both"/>
        <w:rPr>
          <w:rFonts w:ascii="Times New Roman" w:hAnsi="Times New Roman"/>
        </w:rPr>
      </w:pPr>
      <w:r>
        <w:rPr>
          <w:rFonts w:ascii="Times New Roman" w:hAnsi="Times New Roman"/>
        </w:rPr>
        <w:t xml:space="preserve">la </w:t>
      </w:r>
      <w:r>
        <w:rPr>
          <w:rFonts w:ascii="Times New Roman" w:hAnsi="Times New Roman"/>
          <w:b/>
          <w:bCs/>
        </w:rPr>
        <w:t xml:space="preserve">qualité de l’air intérieur </w:t>
      </w:r>
      <w:r>
        <w:rPr>
          <w:rFonts w:ascii="Times New Roman" w:hAnsi="Times New Roman"/>
          <w:b w:val="false"/>
          <w:bCs w:val="false"/>
        </w:rPr>
        <w:t>et notamment l’évolution réglementaire au 1</w:t>
      </w:r>
      <w:r>
        <w:rPr>
          <w:rFonts w:ascii="Times New Roman" w:hAnsi="Times New Roman"/>
          <w:b w:val="false"/>
          <w:bCs w:val="false"/>
          <w:vertAlign w:val="superscript"/>
        </w:rPr>
        <w:t>er</w:t>
      </w:r>
      <w:r>
        <w:rPr>
          <w:rFonts w:ascii="Times New Roman" w:hAnsi="Times New Roman"/>
          <w:b w:val="false"/>
          <w:bCs w:val="false"/>
        </w:rPr>
        <w:t xml:space="preserve"> janvier 2018 </w:t>
      </w:r>
      <w:r>
        <w:rPr>
          <w:rFonts w:ascii="Times New Roman" w:hAnsi="Times New Roman"/>
          <w:b w:val="false"/>
          <w:bCs w:val="false"/>
        </w:rPr>
        <w:t>rendant obligatoire la</w:t>
      </w:r>
      <w:r>
        <w:rPr>
          <w:rFonts w:ascii="Times New Roman" w:hAnsi="Times New Roman"/>
          <w:b w:val="false"/>
          <w:bCs w:val="false"/>
        </w:rPr>
        <w:t xml:space="preserve"> surveillance dans les ERP accueillant des jeunes enfants,</w:t>
      </w:r>
      <w:r>
        <w:rPr>
          <w:rFonts w:ascii="Times New Roman" w:hAnsi="Times New Roman"/>
        </w:rPr>
        <w:t xml:space="preserve"> en lien avec Atmo Au</w:t>
      </w:r>
      <w:r>
        <w:rPr>
          <w:rFonts w:ascii="Times New Roman" w:hAnsi="Times New Roman"/>
        </w:rPr>
        <w:t>vergne-</w:t>
      </w:r>
      <w:r>
        <w:rPr>
          <w:rFonts w:ascii="Times New Roman" w:hAnsi="Times New Roman"/>
        </w:rPr>
        <w:t>R</w:t>
      </w:r>
      <w:r>
        <w:rPr>
          <w:rFonts w:ascii="Times New Roman" w:hAnsi="Times New Roman"/>
        </w:rPr>
        <w:t>hône-</w:t>
      </w:r>
      <w:r>
        <w:rPr>
          <w:rFonts w:ascii="Times New Roman" w:hAnsi="Times New Roman"/>
        </w:rPr>
        <w:t>A</w:t>
      </w:r>
      <w:r>
        <w:rPr>
          <w:rFonts w:ascii="Times New Roman" w:hAnsi="Times New Roman"/>
        </w:rPr>
        <w:t>lpes.</w:t>
      </w:r>
    </w:p>
    <w:p>
      <w:pPr>
        <w:pStyle w:val="Normal"/>
        <w:numPr>
          <w:ilvl w:val="2"/>
          <w:numId w:val="2"/>
        </w:numPr>
        <w:jc w:val="both"/>
        <w:rPr>
          <w:rFonts w:ascii="Times New Roman" w:hAnsi="Times New Roman"/>
        </w:rPr>
      </w:pPr>
      <w:r>
        <w:rPr>
          <w:rFonts w:ascii="Times New Roman" w:hAnsi="Times New Roman"/>
        </w:rPr>
        <w:t xml:space="preserve">le </w:t>
      </w:r>
      <w:r>
        <w:rPr>
          <w:rFonts w:ascii="Times New Roman" w:hAnsi="Times New Roman"/>
          <w:b/>
          <w:bCs/>
        </w:rPr>
        <w:t>passage en gestion 0 phyto</w:t>
      </w:r>
      <w:r>
        <w:rPr>
          <w:rFonts w:ascii="Times New Roman" w:hAnsi="Times New Roman"/>
        </w:rPr>
        <w:t xml:space="preserve"> depuis 2017 pour les collectivités territoriales</w:t>
      </w:r>
    </w:p>
    <w:p>
      <w:pPr>
        <w:pStyle w:val="Normal"/>
        <w:numPr>
          <w:ilvl w:val="2"/>
          <w:numId w:val="2"/>
        </w:numPr>
        <w:jc w:val="both"/>
        <w:rPr>
          <w:rFonts w:ascii="Times New Roman" w:hAnsi="Times New Roman"/>
        </w:rPr>
      </w:pPr>
      <w:r>
        <w:rPr>
          <w:rFonts w:ascii="Times New Roman" w:hAnsi="Times New Roman"/>
        </w:rPr>
        <w:t xml:space="preserve">l’introduction d’une </w:t>
      </w:r>
      <w:r>
        <w:rPr>
          <w:rFonts w:ascii="Times New Roman" w:hAnsi="Times New Roman"/>
          <w:b/>
          <w:bCs/>
        </w:rPr>
        <w:t>alimentation bio et locale</w:t>
      </w:r>
      <w:r>
        <w:rPr>
          <w:rFonts w:ascii="Times New Roman" w:hAnsi="Times New Roman"/>
        </w:rPr>
        <w:t xml:space="preserve"> dans la restauration scolaire</w:t>
      </w:r>
    </w:p>
    <w:p>
      <w:pPr>
        <w:pStyle w:val="Normal"/>
        <w:numPr>
          <w:ilvl w:val="1"/>
          <w:numId w:val="2"/>
        </w:numPr>
        <w:jc w:val="both"/>
        <w:rPr>
          <w:rFonts w:ascii="Times New Roman" w:hAnsi="Times New Roman"/>
        </w:rPr>
      </w:pPr>
      <w:r>
        <w:rPr>
          <w:rFonts w:ascii="Times New Roman" w:hAnsi="Times New Roman"/>
        </w:rPr>
        <w:t>Autres sujets proposés : le bruit, le changement climatique, l’alimentation, les risques d’allergie, les mobilités, etc.</w:t>
      </w:r>
    </w:p>
    <w:p>
      <w:pPr>
        <w:pStyle w:val="Normal"/>
        <w:numPr>
          <w:ilvl w:val="1"/>
          <w:numId w:val="2"/>
        </w:numPr>
        <w:jc w:val="both"/>
        <w:rPr>
          <w:rFonts w:ascii="Times New Roman" w:hAnsi="Times New Roman"/>
        </w:rPr>
      </w:pPr>
      <w:r>
        <w:rPr>
          <w:rFonts w:ascii="Times New Roman" w:hAnsi="Times New Roman"/>
        </w:rPr>
        <w:t xml:space="preserve">Afin de concrétiser ce projet, un </w:t>
      </w:r>
      <w:r>
        <w:rPr>
          <w:rFonts w:ascii="Times New Roman" w:hAnsi="Times New Roman"/>
          <w:b/>
          <w:bCs/>
        </w:rPr>
        <w:t>c</w:t>
      </w:r>
      <w:r>
        <w:rPr>
          <w:rFonts w:ascii="Times New Roman" w:hAnsi="Times New Roman"/>
          <w:b/>
          <w:bCs/>
        </w:rPr>
        <w:t>omité éditorial</w:t>
      </w:r>
      <w:r>
        <w:rPr>
          <w:rFonts w:ascii="Times New Roman" w:hAnsi="Times New Roman"/>
        </w:rPr>
        <w:t xml:space="preserve"> est constitué. Il est composé de représentants des cinq collèges : collectivités, associations, acteurs économiques, salariés, services de l’État, et a pour mission de piloter la rédaction et la diffusion de la lettre, bi-anuellement.</w:t>
      </w:r>
    </w:p>
    <w:p>
      <w:pPr>
        <w:pStyle w:val="Normal"/>
        <w:numPr>
          <w:ilvl w:val="1"/>
          <w:numId w:val="2"/>
        </w:numPr>
        <w:jc w:val="both"/>
        <w:rPr>
          <w:rFonts w:ascii="Times New Roman" w:hAnsi="Times New Roman"/>
        </w:rPr>
      </w:pPr>
      <w:r>
        <w:rPr>
          <w:rFonts w:ascii="Times New Roman" w:hAnsi="Times New Roman"/>
        </w:rPr>
        <w:t>Un appel à volontaires a été lancé : Bernard Le Risbé (Association des maires de l’Isère), Corinne Castel (ARS), Alexandra Bako (CIAS du Pays Voironnais), Jacqueline Collard (Association SERA), Françoise Bousson (CD Grésivaudan), Camille Rieux (Atmo Aura) se sont portés volontaires.</w:t>
      </w:r>
    </w:p>
    <w:p>
      <w:pPr>
        <w:pStyle w:val="Normal"/>
        <w:numPr>
          <w:ilvl w:val="0"/>
          <w:numId w:val="2"/>
        </w:numPr>
        <w:jc w:val="both"/>
        <w:rPr>
          <w:rFonts w:ascii="Times New Roman" w:hAnsi="Times New Roman"/>
          <w:b/>
          <w:b/>
          <w:bCs/>
        </w:rPr>
      </w:pPr>
      <w:r>
        <w:rPr>
          <w:rFonts w:ascii="Times New Roman" w:hAnsi="Times New Roman"/>
          <w:b/>
          <w:bCs/>
        </w:rPr>
        <w:t>Boite à outils en environnement santé :</w:t>
      </w:r>
    </w:p>
    <w:p>
      <w:pPr>
        <w:pStyle w:val="Normal"/>
        <w:numPr>
          <w:ilvl w:val="1"/>
          <w:numId w:val="2"/>
        </w:numPr>
        <w:jc w:val="both"/>
        <w:rPr>
          <w:rFonts w:ascii="Times New Roman" w:hAnsi="Times New Roman"/>
        </w:rPr>
      </w:pPr>
      <w:r>
        <w:rPr>
          <w:rFonts w:ascii="Times New Roman" w:hAnsi="Times New Roman"/>
        </w:rPr>
        <w:t>Dans la continuité de ce que proposerait la lettre, il est envisagé de constituer sur le site du SPPPY une boîte à outils en environnement santé, proposant des liens vers les acteurs locaux, des retours d’expérience et des conseils.</w:t>
      </w:r>
    </w:p>
    <w:p>
      <w:pPr>
        <w:pStyle w:val="Normal"/>
        <w:numPr>
          <w:ilvl w:val="1"/>
          <w:numId w:val="2"/>
        </w:numPr>
        <w:jc w:val="both"/>
        <w:rPr>
          <w:rFonts w:ascii="Times New Roman" w:hAnsi="Times New Roman"/>
        </w:rPr>
      </w:pPr>
      <w:r>
        <w:rPr>
          <w:rFonts w:ascii="Times New Roman" w:hAnsi="Times New Roman"/>
        </w:rPr>
        <w:t>De nombreux acteurs pourraient y être associés : la DDT, l’Education Nationale, etc.</w:t>
      </w:r>
    </w:p>
    <w:p>
      <w:pPr>
        <w:pStyle w:val="Normal"/>
        <w:numPr>
          <w:ilvl w:val="1"/>
          <w:numId w:val="2"/>
        </w:numPr>
        <w:jc w:val="both"/>
        <w:rPr>
          <w:rFonts w:ascii="Times New Roman" w:hAnsi="Times New Roman"/>
        </w:rPr>
      </w:pPr>
      <w:r>
        <w:rPr>
          <w:rFonts w:ascii="Times New Roman" w:hAnsi="Times New Roman"/>
        </w:rPr>
        <w:t xml:space="preserve">Les participants </w:t>
      </w:r>
      <w:r>
        <w:rPr>
          <w:rFonts w:ascii="Times New Roman" w:hAnsi="Times New Roman"/>
        </w:rPr>
        <w:t>rappellent</w:t>
      </w:r>
      <w:r>
        <w:rPr>
          <w:rFonts w:ascii="Times New Roman" w:hAnsi="Times New Roman"/>
        </w:rPr>
        <w:t xml:space="preserve"> qu’il est très difficile de maintenir les informations à jour.</w:t>
      </w:r>
    </w:p>
    <w:p>
      <w:pPr>
        <w:pStyle w:val="Normal"/>
        <w:jc w:val="both"/>
        <w:rPr>
          <w:rFonts w:ascii="Times New Roman" w:hAnsi="Times New Roman"/>
          <w:b/>
          <w:b/>
          <w:bCs/>
          <w:i/>
          <w:i/>
          <w:iCs/>
          <w:u w:val="single"/>
        </w:rPr>
      </w:pPr>
      <w:r>
        <w:rPr>
          <w:rFonts w:ascii="Times New Roman" w:hAnsi="Times New Roman"/>
          <w:b/>
          <w:bCs/>
          <w:i/>
          <w:iCs/>
          <w:u w:val="single"/>
        </w:rPr>
        <w:t>4 – Point sur les deux études de zone iséroises</w:t>
      </w:r>
    </w:p>
    <w:p>
      <w:pPr>
        <w:pStyle w:val="Normal"/>
        <w:numPr>
          <w:ilvl w:val="0"/>
          <w:numId w:val="4"/>
        </w:numPr>
        <w:jc w:val="both"/>
        <w:rPr>
          <w:rFonts w:ascii="Times New Roman" w:hAnsi="Times New Roman"/>
        </w:rPr>
      </w:pPr>
      <w:r>
        <w:rPr>
          <w:rFonts w:ascii="Times New Roman" w:hAnsi="Times New Roman"/>
          <w:b w:val="false"/>
          <w:bCs w:val="false"/>
          <w:i w:val="false"/>
          <w:iCs w:val="false"/>
          <w:u w:val="none"/>
        </w:rPr>
        <w:t>U</w:t>
      </w:r>
      <w:r>
        <w:rPr>
          <w:rFonts w:ascii="Times New Roman" w:hAnsi="Times New Roman"/>
          <w:b w:val="false"/>
          <w:bCs w:val="false"/>
          <w:i w:val="false"/>
          <w:iCs w:val="false"/>
          <w:u w:val="none"/>
        </w:rPr>
        <w:t xml:space="preserve">n point </w:t>
      </w:r>
      <w:r>
        <w:rPr>
          <w:rFonts w:ascii="Times New Roman" w:hAnsi="Times New Roman"/>
          <w:b w:val="false"/>
          <w:bCs w:val="false"/>
          <w:i w:val="false"/>
          <w:iCs w:val="false"/>
          <w:u w:val="none"/>
        </w:rPr>
        <w:t>d’étape</w:t>
      </w:r>
      <w:r>
        <w:rPr>
          <w:rFonts w:ascii="Times New Roman" w:hAnsi="Times New Roman"/>
          <w:b w:val="false"/>
          <w:bCs w:val="false"/>
          <w:i w:val="false"/>
          <w:iCs w:val="false"/>
          <w:u w:val="none"/>
        </w:rPr>
        <w:t xml:space="preserve"> sur les deux études en cours dans le Pays roussillonnais et dans le </w:t>
      </w:r>
      <w:r>
        <w:rPr>
          <w:rFonts w:ascii="Times New Roman" w:hAnsi="Times New Roman"/>
          <w:b w:val="false"/>
          <w:bCs w:val="false"/>
          <w:i w:val="false"/>
          <w:iCs w:val="false"/>
          <w:u w:val="none"/>
        </w:rPr>
        <w:t>S</w:t>
      </w:r>
      <w:r>
        <w:rPr>
          <w:rFonts w:ascii="Times New Roman" w:hAnsi="Times New Roman"/>
          <w:b w:val="false"/>
          <w:bCs w:val="false"/>
          <w:i w:val="false"/>
          <w:iCs w:val="false"/>
          <w:u w:val="none"/>
        </w:rPr>
        <w:t>ud grenoblois</w:t>
      </w:r>
      <w:r>
        <w:rPr>
          <w:rFonts w:ascii="Times New Roman" w:hAnsi="Times New Roman"/>
          <w:b w:val="false"/>
          <w:bCs w:val="false"/>
          <w:i w:val="false"/>
          <w:iCs w:val="false"/>
          <w:u w:val="none"/>
        </w:rPr>
        <w:t xml:space="preserve"> a été présenté</w:t>
      </w:r>
      <w:r>
        <w:rPr>
          <w:rFonts w:ascii="Times New Roman" w:hAnsi="Times New Roman"/>
          <w:b w:val="false"/>
          <w:bCs w:val="false"/>
          <w:i w:val="false"/>
          <w:iCs w:val="false"/>
          <w:u w:val="none"/>
        </w:rPr>
        <w:t xml:space="preserve">. </w:t>
      </w:r>
      <w:r>
        <w:rPr>
          <w:rFonts w:ascii="Times New Roman" w:hAnsi="Times New Roman"/>
          <w:b w:val="false"/>
          <w:bCs w:val="false"/>
          <w:i w:val="false"/>
          <w:iCs w:val="false"/>
          <w:u w:val="none"/>
        </w:rPr>
        <w:t>La démarche est</w:t>
      </w:r>
      <w:r>
        <w:rPr>
          <w:rFonts w:ascii="Times New Roman" w:hAnsi="Times New Roman"/>
          <w:b w:val="false"/>
          <w:bCs w:val="false"/>
          <w:i w:val="false"/>
          <w:iCs w:val="false"/>
          <w:u w:val="none"/>
        </w:rPr>
        <w:t xml:space="preserve"> innovante : </w:t>
      </w:r>
      <w:r>
        <w:rPr>
          <w:rFonts w:ascii="Times New Roman" w:hAnsi="Times New Roman"/>
          <w:b w:val="false"/>
          <w:bCs w:val="false"/>
          <w:i w:val="false"/>
          <w:iCs w:val="false"/>
          <w:u w:val="none"/>
        </w:rPr>
        <w:t>le Suivi Environnemental Global</w:t>
      </w:r>
      <w:r>
        <w:rPr>
          <w:rFonts w:ascii="Times New Roman" w:hAnsi="Times New Roman"/>
          <w:b w:val="false"/>
          <w:bCs w:val="false"/>
          <w:i w:val="false"/>
          <w:iCs w:val="false"/>
          <w:u w:val="none"/>
        </w:rPr>
        <w:t xml:space="preserve"> du Pays roussillonnais </w:t>
      </w:r>
      <w:r>
        <w:rPr>
          <w:rFonts w:ascii="Times New Roman" w:hAnsi="Times New Roman"/>
          <w:b w:val="false"/>
          <w:bCs w:val="false"/>
          <w:i w:val="false"/>
          <w:iCs w:val="false"/>
          <w:u w:val="none"/>
        </w:rPr>
        <w:t>a été la première étude lancée.</w:t>
      </w:r>
    </w:p>
    <w:p>
      <w:pPr>
        <w:pStyle w:val="Normal"/>
        <w:numPr>
          <w:ilvl w:val="0"/>
          <w:numId w:val="4"/>
        </w:numPr>
        <w:jc w:val="both"/>
        <w:rPr>
          <w:rFonts w:ascii="Times New Roman" w:hAnsi="Times New Roman"/>
        </w:rPr>
      </w:pPr>
      <w:r>
        <w:rPr>
          <w:rFonts w:ascii="Times New Roman" w:hAnsi="Times New Roman"/>
          <w:b w:val="false"/>
          <w:bCs w:val="false"/>
          <w:i w:val="false"/>
          <w:iCs w:val="false"/>
          <w:u w:val="none"/>
        </w:rPr>
        <w:t xml:space="preserve">La Frapna </w:t>
      </w:r>
      <w:r>
        <w:rPr>
          <w:rFonts w:ascii="Times New Roman" w:hAnsi="Times New Roman"/>
          <w:b w:val="false"/>
          <w:bCs w:val="false"/>
          <w:i w:val="false"/>
          <w:iCs w:val="false"/>
          <w:u w:val="none"/>
        </w:rPr>
        <w:t>regrette</w:t>
      </w:r>
      <w:r>
        <w:rPr>
          <w:rFonts w:ascii="Times New Roman" w:hAnsi="Times New Roman"/>
          <w:b w:val="false"/>
          <w:bCs w:val="false"/>
          <w:i w:val="false"/>
          <w:iCs w:val="false"/>
          <w:u w:val="none"/>
        </w:rPr>
        <w:t xml:space="preserve"> la longueur d</w:t>
      </w:r>
      <w:r>
        <w:rPr>
          <w:rFonts w:ascii="Times New Roman" w:hAnsi="Times New Roman"/>
          <w:b w:val="false"/>
          <w:bCs w:val="false"/>
          <w:i w:val="false"/>
          <w:iCs w:val="false"/>
          <w:u w:val="none"/>
        </w:rPr>
        <w:t>u processus.</w:t>
      </w:r>
    </w:p>
    <w:p>
      <w:pPr>
        <w:pStyle w:val="Normal"/>
        <w:numPr>
          <w:ilvl w:val="0"/>
          <w:numId w:val="4"/>
        </w:numPr>
        <w:jc w:val="both"/>
        <w:rPr>
          <w:rFonts w:ascii="Times New Roman" w:hAnsi="Times New Roman"/>
        </w:rPr>
      </w:pPr>
      <w:r>
        <w:rPr>
          <w:rFonts w:ascii="Times New Roman" w:hAnsi="Times New Roman"/>
          <w:b w:val="false"/>
          <w:bCs w:val="false"/>
          <w:i w:val="false"/>
          <w:iCs w:val="false"/>
          <w:u w:val="none"/>
        </w:rPr>
        <w:t xml:space="preserve">L’importance de mieux communiquer autour de ces deux études est </w:t>
      </w:r>
      <w:r>
        <w:rPr>
          <w:rFonts w:ascii="Times New Roman" w:hAnsi="Times New Roman"/>
          <w:b w:val="false"/>
          <w:bCs w:val="false"/>
          <w:i w:val="false"/>
          <w:iCs w:val="false"/>
          <w:u w:val="none"/>
        </w:rPr>
        <w:t>retenue par l’ensemble des membres.</w:t>
      </w:r>
    </w:p>
    <w:p>
      <w:pPr>
        <w:pStyle w:val="Normal"/>
        <w:jc w:val="both"/>
        <w:rPr>
          <w:rFonts w:ascii="Times New Roman" w:hAnsi="Times New Roman"/>
        </w:rPr>
      </w:pPr>
      <w:r>
        <w:rPr>
          <w:rFonts w:ascii="Times New Roman" w:hAnsi="Times New Roman"/>
          <w:b/>
          <w:bCs/>
          <w:i/>
          <w:iCs/>
          <w:u w:val="single"/>
        </w:rPr>
        <w:t>5 – Conclusions</w:t>
      </w:r>
    </w:p>
    <w:p>
      <w:pPr>
        <w:pStyle w:val="Normal"/>
        <w:numPr>
          <w:ilvl w:val="0"/>
          <w:numId w:val="3"/>
        </w:numPr>
        <w:jc w:val="both"/>
        <w:rPr>
          <w:rFonts w:ascii="Times New Roman" w:hAnsi="Times New Roman"/>
        </w:rPr>
      </w:pPr>
      <w:r>
        <w:rPr>
          <w:rFonts w:ascii="Times New Roman" w:hAnsi="Times New Roman"/>
        </w:rPr>
        <w:t>Le comité éditorial de la lettre se réunira prochainement, ou a minima échangera par mail, afin d’éditer le premier numéro au plus tard fin janvier 2018.</w:t>
      </w:r>
    </w:p>
    <w:p>
      <w:pPr>
        <w:pStyle w:val="Normal"/>
        <w:numPr>
          <w:ilvl w:val="0"/>
          <w:numId w:val="3"/>
        </w:numPr>
        <w:jc w:val="both"/>
        <w:rPr>
          <w:rFonts w:ascii="Times New Roman" w:hAnsi="Times New Roman"/>
        </w:rPr>
      </w:pPr>
      <w:r>
        <w:rPr>
          <w:rFonts w:ascii="Times New Roman" w:hAnsi="Times New Roman"/>
        </w:rPr>
        <w:t xml:space="preserve">La commission se réunira de nouveau le </w:t>
      </w:r>
      <w:r>
        <w:rPr>
          <w:rFonts w:ascii="Times New Roman" w:hAnsi="Times New Roman"/>
          <w:b/>
          <w:bCs/>
        </w:rPr>
        <w:t>30 janvier prochain de 10 heures à 12 heures</w:t>
      </w:r>
      <w:r>
        <w:rPr>
          <w:rFonts w:ascii="Times New Roman" w:hAnsi="Times New Roman"/>
        </w:rPr>
        <w:t xml:space="preserve"> pour faire le point sur l’avancée des différentes actions.</w:t>
      </w:r>
    </w:p>
    <w:p>
      <w:pPr>
        <w:pStyle w:val="Normal"/>
        <w:numPr>
          <w:ilvl w:val="0"/>
          <w:numId w:val="3"/>
        </w:numPr>
        <w:jc w:val="both"/>
        <w:rPr>
          <w:rFonts w:ascii="Times New Roman" w:hAnsi="Times New Roman"/>
        </w:rPr>
      </w:pPr>
      <w:r>
        <w:rPr>
          <w:rFonts w:ascii="Times New Roman" w:hAnsi="Times New Roman"/>
        </w:rPr>
        <w:t>La commission plénière du SPPPY se réunira le 12 janvier 2018 de 10 heures à 12 heures.</w:t>
      </w:r>
    </w:p>
    <w:p>
      <w:pPr>
        <w:pStyle w:val="Normal"/>
        <w:spacing w:before="0" w:after="160"/>
        <w:jc w:val="both"/>
        <w:rPr>
          <w:rFonts w:ascii="Times New Roman" w:hAnsi="Times New Roman"/>
        </w:rPr>
      </w:pPr>
      <w:r>
        <w:rPr>
          <w:rFonts w:ascii="Times New Roman" w:hAnsi="Times New Roman"/>
        </w:rPr>
      </w:r>
    </w:p>
    <w:sectPr>
      <w:headerReference w:type="default" r:id="rId2"/>
      <w:footerReference w:type="default" r:id="rId3"/>
      <w:type w:val="nextPage"/>
      <w:pgSz w:w="11906" w:h="16838"/>
      <w:pgMar w:left="1417" w:right="1417" w:header="1417" w:top="1969" w:footer="1417" w:bottom="270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bidi w:val="0"/>
      <w:snapToGrid w:val="false"/>
      <w:spacing w:before="0" w:after="57"/>
      <w:contextualSpacing/>
      <w:jc w:val="center"/>
      <w:rPr/>
    </w:pPr>
    <w:r>
      <w:rPr>
        <w:rStyle w:val="A0"/>
        <w:rFonts w:ascii="Times New Roman" w:hAnsi="Times New Roman"/>
      </w:rPr>
      <w:t xml:space="preserve">Secrétariat du SPPPY - Direction régionale de l’environnement, de l’aménagement et du logement de Rhône-Alpes </w:t>
    </w:r>
  </w:p>
  <w:p>
    <w:pPr>
      <w:pStyle w:val="Pieddepage"/>
      <w:bidi w:val="0"/>
      <w:snapToGrid w:val="false"/>
      <w:spacing w:before="0" w:after="57"/>
      <w:contextualSpacing/>
      <w:jc w:val="center"/>
      <w:rPr/>
    </w:pPr>
    <w:r>
      <w:rPr>
        <w:rStyle w:val="A0"/>
        <w:rFonts w:ascii="Times New Roman" w:hAnsi="Times New Roman"/>
      </w:rPr>
      <w:t>44, avenue Marcelin Berthelot – 38030 GRENOBLE Cedex 2</w:t>
    </w:r>
  </w:p>
  <w:p>
    <w:pPr>
      <w:pStyle w:val="Pieddepage"/>
      <w:bidi w:val="0"/>
      <w:snapToGrid w:val="false"/>
      <w:spacing w:before="0" w:after="57"/>
      <w:contextualSpacing/>
      <w:jc w:val="center"/>
      <w:rPr/>
    </w:pPr>
    <w:r>
      <w:rPr>
        <w:rStyle w:val="A0"/>
        <w:rFonts w:ascii="Times New Roman" w:hAnsi="Times New Roman"/>
      </w:rPr>
      <w:t xml:space="preserve">Standard : 04 76 69 34 34 – </w:t>
    </w:r>
    <w:r>
      <w:rPr>
        <w:rStyle w:val="A0"/>
        <w:rFonts w:eastAsia="DejaVu Sans" w:cs="DejaVu Sans" w:ascii="Times New Roman" w:hAnsi="Times New Roman"/>
      </w:rPr>
      <w:t xml:space="preserve">✉ </w:t>
    </w:r>
    <w:hyperlink r:id="rId1">
      <w:r>
        <w:rPr>
          <w:rStyle w:val="A0"/>
          <w:rFonts w:eastAsia="DejaVu Sans" w:cs="DejaVu Sans" w:ascii="Times New Roman" w:hAnsi="Times New Roman"/>
          <w:color w:val="3333FF"/>
        </w:rPr>
        <w:t>secretariat.spppy</w:t>
      </w:r>
      <w:r>
        <w:rPr>
          <w:rStyle w:val="A0"/>
          <w:rFonts w:ascii="Times New Roman" w:hAnsi="Times New Roman"/>
          <w:color w:val="3333FF"/>
        </w:rPr>
        <w:t>@developpement-durable.gouv.fr</w:t>
      </w:r>
    </w:hyperlink>
  </w:p>
  <w:p>
    <w:pPr>
      <w:pStyle w:val="Pieddepage"/>
      <w:bidi w:val="0"/>
      <w:snapToGrid w:val="false"/>
      <w:spacing w:before="0" w:after="57"/>
      <w:contextualSpacing/>
      <w:jc w:val="center"/>
      <w:rPr>
        <w:rStyle w:val="A0"/>
        <w:rFonts w:ascii="Times New Roman" w:hAnsi="Times New Roman"/>
      </w:rPr>
    </w:pPr>
    <w:r>
      <w:rPr>
        <w:rFonts w:ascii="Times New Roman" w:hAnsi="Times New Roman"/>
      </w:rPr>
    </w:r>
  </w:p>
  <w:p>
    <w:pPr>
      <w:pStyle w:val="Pieddepage"/>
      <w:bidi w:val="0"/>
      <w:snapToGrid w:val="false"/>
      <w:spacing w:before="0" w:after="57"/>
      <w:contextualSpacing/>
      <w:jc w:val="center"/>
      <w:rPr/>
    </w:pPr>
    <w:r>
      <w:rPr/>
      <w:fldChar w:fldCharType="begin"/>
    </w:r>
    <w:r>
      <w:instrText> PAGE </w:instrText>
    </w:r>
    <w:r>
      <w:fldChar w:fldCharType="separate"/>
    </w:r>
    <w:r>
      <w:t>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160"/>
      <w:rPr/>
    </w:pPr>
    <w:r>
      <w:rPr/>
      <w:drawing>
        <wp:anchor behindDoc="1" distT="0" distB="0" distL="0" distR="0" simplePos="0" locked="0" layoutInCell="1" allowOverlap="1" relativeHeight="5">
          <wp:simplePos x="0" y="0"/>
          <wp:positionH relativeFrom="column">
            <wp:posOffset>-635635</wp:posOffset>
          </wp:positionH>
          <wp:positionV relativeFrom="paragraph">
            <wp:posOffset>-805180</wp:posOffset>
          </wp:positionV>
          <wp:extent cx="1063625" cy="6902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063625" cy="69024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28"/>
        </w:tabs>
        <w:ind w:left="1428" w:hanging="360"/>
      </w:pPr>
      <w:rPr>
        <w:rFonts w:ascii="Symbol" w:hAnsi="Symbol" w:cs="Symbol" w:hint="default"/>
        <w:rFonts w:cs="OpenSymbol"/>
      </w:rPr>
    </w:lvl>
    <w:lvl w:ilvl="1">
      <w:start w:val="1"/>
      <w:numFmt w:val="bullet"/>
      <w:lvlText w:val="◦"/>
      <w:lvlJc w:val="left"/>
      <w:pPr>
        <w:tabs>
          <w:tab w:val="num" w:pos="1788"/>
        </w:tabs>
        <w:ind w:left="1788" w:hanging="360"/>
      </w:pPr>
      <w:rPr>
        <w:rFonts w:ascii="OpenSymbol" w:hAnsi="OpenSymbol" w:cs="OpenSymbol" w:hint="default"/>
        <w:rFonts w:cs="OpenSymbol"/>
      </w:rPr>
    </w:lvl>
    <w:lvl w:ilvl="2">
      <w:start w:val="1"/>
      <w:numFmt w:val="bullet"/>
      <w:lvlText w:val="▪"/>
      <w:lvlJc w:val="left"/>
      <w:pPr>
        <w:tabs>
          <w:tab w:val="num" w:pos="2148"/>
        </w:tabs>
        <w:ind w:left="2148" w:hanging="360"/>
      </w:pPr>
      <w:rPr>
        <w:rFonts w:ascii="OpenSymbol" w:hAnsi="OpenSymbol" w:cs="OpenSymbol" w:hint="default"/>
        <w:rFonts w:cs="OpenSymbol"/>
      </w:rPr>
    </w:lvl>
    <w:lvl w:ilvl="3">
      <w:start w:val="1"/>
      <w:numFmt w:val="bullet"/>
      <w:lvlText w:val=""/>
      <w:lvlJc w:val="left"/>
      <w:pPr>
        <w:tabs>
          <w:tab w:val="num" w:pos="2508"/>
        </w:tabs>
        <w:ind w:left="2508" w:hanging="360"/>
      </w:pPr>
      <w:rPr>
        <w:rFonts w:ascii="Symbol" w:hAnsi="Symbol" w:cs="Symbol" w:hint="default"/>
        <w:rFonts w:cs="OpenSymbol"/>
      </w:rPr>
    </w:lvl>
    <w:lvl w:ilvl="4">
      <w:start w:val="1"/>
      <w:numFmt w:val="bullet"/>
      <w:lvlText w:val="◦"/>
      <w:lvlJc w:val="left"/>
      <w:pPr>
        <w:tabs>
          <w:tab w:val="num" w:pos="2868"/>
        </w:tabs>
        <w:ind w:left="2868" w:hanging="360"/>
      </w:pPr>
      <w:rPr>
        <w:rFonts w:ascii="OpenSymbol" w:hAnsi="OpenSymbol" w:cs="OpenSymbol" w:hint="default"/>
        <w:rFonts w:cs="OpenSymbol"/>
      </w:rPr>
    </w:lvl>
    <w:lvl w:ilvl="5">
      <w:start w:val="1"/>
      <w:numFmt w:val="bullet"/>
      <w:lvlText w:val="▪"/>
      <w:lvlJc w:val="left"/>
      <w:pPr>
        <w:tabs>
          <w:tab w:val="num" w:pos="3228"/>
        </w:tabs>
        <w:ind w:left="3228" w:hanging="360"/>
      </w:pPr>
      <w:rPr>
        <w:rFonts w:ascii="OpenSymbol" w:hAnsi="OpenSymbol" w:cs="OpenSymbol" w:hint="default"/>
        <w:rFonts w:cs="OpenSymbol"/>
      </w:rPr>
    </w:lvl>
    <w:lvl w:ilvl="6">
      <w:start w:val="1"/>
      <w:numFmt w:val="bullet"/>
      <w:lvlText w:val=""/>
      <w:lvlJc w:val="left"/>
      <w:pPr>
        <w:tabs>
          <w:tab w:val="num" w:pos="3588"/>
        </w:tabs>
        <w:ind w:left="3588" w:hanging="360"/>
      </w:pPr>
      <w:rPr>
        <w:rFonts w:ascii="Symbol" w:hAnsi="Symbol" w:cs="Symbol" w:hint="default"/>
        <w:rFonts w:cs="OpenSymbol"/>
      </w:rPr>
    </w:lvl>
    <w:lvl w:ilvl="7">
      <w:start w:val="1"/>
      <w:numFmt w:val="bullet"/>
      <w:lvlText w:val="◦"/>
      <w:lvlJc w:val="left"/>
      <w:pPr>
        <w:tabs>
          <w:tab w:val="num" w:pos="3948"/>
        </w:tabs>
        <w:ind w:left="3948" w:hanging="360"/>
      </w:pPr>
      <w:rPr>
        <w:rFonts w:ascii="OpenSymbol" w:hAnsi="OpenSymbol" w:cs="OpenSymbol" w:hint="default"/>
        <w:rFonts w:cs="OpenSymbol"/>
      </w:rPr>
    </w:lvl>
    <w:lvl w:ilvl="8">
      <w:start w:val="1"/>
      <w:numFmt w:val="bullet"/>
      <w:lvlText w:val="▪"/>
      <w:lvlJc w:val="left"/>
      <w:pPr>
        <w:tabs>
          <w:tab w:val="num" w:pos="4308"/>
        </w:tabs>
        <w:ind w:left="4308"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b/>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Puces">
    <w:name w:val="Puces"/>
    <w:qFormat/>
    <w:rPr>
      <w:rFonts w:ascii="OpenSymbol" w:hAnsi="OpenSymbol" w:eastAsia="OpenSymbol" w:cs="OpenSymbol"/>
    </w:rPr>
  </w:style>
  <w:style w:type="character" w:styleId="A0">
    <w:name w:val="A0"/>
    <w:qFormat/>
    <w:rPr>
      <w:color w:val="221E1F"/>
      <w:sz w:val="16"/>
      <w:szCs w:val="16"/>
    </w:rPr>
  </w:style>
  <w:style w:type="character" w:styleId="LienInternet">
    <w:name w:val="Lien Internet"/>
    <w:rPr>
      <w:color w:val="000080"/>
      <w:u w:val="single"/>
      <w:lang w:val="zxx" w:eastAsia="zxx" w:bidi="zxx"/>
    </w:rPr>
  </w:style>
  <w:style w:type="character" w:styleId="ListLabel5">
    <w:name w:val="ListLabel 5"/>
    <w:qFormat/>
    <w:rPr>
      <w:rFonts w:ascii="Times New Roman" w:hAnsi="Times New Roman"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ascii="Times New Roman" w:hAnsi="Times New Roman" w:cs="OpenSymbol"/>
      <w:b/>
    </w:rPr>
  </w:style>
  <w:style w:type="character" w:styleId="ListLabel15">
    <w:name w:val="ListLabel 15"/>
    <w:qFormat/>
    <w:rPr>
      <w:rFonts w:ascii="Times New Roman" w:hAnsi="Times New Roman" w:cs="OpenSymbol"/>
    </w:rPr>
  </w:style>
  <w:style w:type="character" w:styleId="ListLabel16">
    <w:name w:val="ListLabel 16"/>
    <w:qFormat/>
    <w:rPr>
      <w:rFonts w:ascii="Times New Roman" w:hAnsi="Times New Roman"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ascii="Times New Roman" w:hAnsi="Times New Roman"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ascii="Times New Roman" w:hAnsi="Times New Roman"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ascii="Times New Roman" w:hAnsi="Times New Roman" w:cs="OpenSymbol"/>
      <w:b/>
    </w:rPr>
  </w:style>
  <w:style w:type="character" w:styleId="ListLabel42">
    <w:name w:val="ListLabel 42"/>
    <w:qFormat/>
    <w:rPr>
      <w:rFonts w:ascii="Times New Roman" w:hAnsi="Times New Roman" w:cs="OpenSymbol"/>
    </w:rPr>
  </w:style>
  <w:style w:type="character" w:styleId="ListLabel43">
    <w:name w:val="ListLabel 43"/>
    <w:qFormat/>
    <w:rPr>
      <w:rFonts w:ascii="Times New Roman" w:hAnsi="Times New Roman"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ascii="Times New Roman" w:hAnsi="Times New Roman" w:cs="OpenSymbol"/>
      <w:b w:val="false"/>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ascii="Times New Roman" w:hAnsi="Times New Roman"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ascii="Times New Roman" w:hAnsi="Times New Roman" w:cs="OpenSymbol"/>
      <w:b/>
    </w:rPr>
  </w:style>
  <w:style w:type="character" w:styleId="ListLabel78">
    <w:name w:val="ListLabel 78"/>
    <w:qFormat/>
    <w:rPr>
      <w:rFonts w:ascii="Times New Roman" w:hAnsi="Times New Roman" w:cs="OpenSymbol"/>
    </w:rPr>
  </w:style>
  <w:style w:type="character" w:styleId="ListLabel79">
    <w:name w:val="ListLabel 79"/>
    <w:qFormat/>
    <w:rPr>
      <w:rFonts w:ascii="Times New Roman" w:hAnsi="Times New Roman"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ascii="Times New Roman" w:hAnsi="Times New Roman" w:cs="OpenSymbol"/>
      <w:b w:val="false"/>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ascii="Times New Roman" w:hAnsi="Times New Roman"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ascii="Times New Roman" w:hAnsi="Times New Roman" w:cs="OpenSymbol"/>
      <w:b/>
    </w:rPr>
  </w:style>
  <w:style w:type="character" w:styleId="ListLabel123">
    <w:name w:val="ListLabel 123"/>
    <w:qFormat/>
    <w:rPr>
      <w:rFonts w:ascii="Times New Roman" w:hAnsi="Times New Roman" w:cs="OpenSymbol"/>
    </w:rPr>
  </w:style>
  <w:style w:type="character" w:styleId="ListLabel124">
    <w:name w:val="ListLabel 124"/>
    <w:qFormat/>
    <w:rPr>
      <w:rFonts w:ascii="Times New Roman" w:hAnsi="Times New Roman"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ascii="Times New Roman" w:hAnsi="Times New Roman"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ascii="Times New Roman" w:hAnsi="Times New Roman" w:cs="OpenSymbol"/>
      <w:b w:val="false"/>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ascii="Calibri" w:hAnsi="Calibri"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5476e8"/>
    <w:pPr>
      <w:spacing w:before="0" w:after="160"/>
      <w:ind w:left="720" w:hanging="0"/>
      <w:contextualSpacing/>
    </w:pPr>
    <w:rPr/>
  </w:style>
  <w:style w:type="paragraph" w:styleId="Pieddepage">
    <w:name w:val="Footer"/>
    <w:basedOn w:val="Normal"/>
    <w:pPr/>
    <w:rPr/>
  </w:style>
  <w:style w:type="paragraph" w:styleId="Entte">
    <w:name w:val="Header"/>
    <w:basedOn w:val="Normal"/>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secretariat.spppy@developpement-durable.gouv.f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LibreOffice/5.2.6.2$Windows_x86 LibreOffice_project/a3100ed2409ebf1c212f5048fbe377c281438fdc</Application>
  <Pages>4</Pages>
  <Words>1248</Words>
  <Characters>6638</Characters>
  <CharactersWithSpaces>7767</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2017-12-13T11:59:53Z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